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32" w:rsidRDefault="00210F32" w:rsidP="00210F32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111111"/>
          <w:sz w:val="28"/>
        </w:rPr>
        <w:t>Реестр субъектов МСП</w:t>
      </w:r>
    </w:p>
    <w:p w:rsidR="00210F32" w:rsidRDefault="00210F32" w:rsidP="00210F32">
      <w:pPr>
        <w:jc w:val="both"/>
      </w:pP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Администрация Вязовского сельского поселения ведет Реестр в соответствии со статьей 8 Федерального закона от 24.07.2007 №209-ФЗ «О развитии малого и среднего предпринимательства в Российской Федерации» и приказом Минэкономразвития России от 31.05.2017 №262 «Об утверждении Порядка ведения реестров субъектов малого и среднего предпринимательства —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 (зарегистрирован в Минюсте России 11 августа 2017 г. № 47753).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В Реестре содержатся сведения о субъектах малого и среднего предпринимательства, которым администрацией Вязовского сельского поселения оказана: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финансовая поддержка в виде предоставления независимых гарантий и поручительств администрации Вязовского сельского поселения, обеспечивающих кредитные и иные обязательства малых и средних предприятий;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поддержка в сфере образования в виде проведения обучающих мероприятий (семинаров) по вопросам участия субъектов малого и среднего предпринимательства в закупках в соответствии с Федеральным законом от 11.07.2011 №223-ФЗ «О закупках товаров, работ, услуг отдельными видами юридически лиц».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В реестре содержатся следующие сведения в отношении каждого получателя поддержки: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наименование юридического лица или фамилия, имя и (при наличии) отчество индивидуального предпринимателя;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вид, форма и размер предоставленной поддержки;</w:t>
      </w:r>
    </w:p>
    <w:p w:rsidR="00210F32" w:rsidRDefault="00210F32" w:rsidP="00210F32">
      <w:pPr>
        <w:tabs>
          <w:tab w:val="left" w:pos="8662"/>
        </w:tabs>
        <w:ind w:right="-448"/>
        <w:jc w:val="both"/>
      </w:pPr>
      <w:r>
        <w:rPr>
          <w:rFonts w:ascii="Times New Roman" w:hAnsi="Times New Roman"/>
          <w:color w:val="333333"/>
          <w:sz w:val="28"/>
        </w:rPr>
        <w:t>срок оказания поддержки;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идентификационный номер налогоплательщика;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дата принятия решения о предоставлении или прекращении оказания поддержки;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информация (в случае ее наличия) о нарушении порядка и условий предоставления поддержки, в том числе о нецелевом использовании средств поддержки.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Записи в Реестр вносятся в не позднее 30 дней со дня принятия решения об оказании поддержки (заключения договора о предоставлении поручительства, выдачи независимой гарантии, проведения обучающего мероприятия (семинара)) или о прекращении оказания поддержки.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В случае изменения каких-либо сведений реестров о получателе поддержки такие изменения вносятся в Реестр в течение 10 дней.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Исключаются сведения из Реестра по истечении 3 лет с даты окончания срока оказания поддержки.</w:t>
      </w:r>
    </w:p>
    <w:p w:rsidR="00210F32" w:rsidRDefault="00210F32" w:rsidP="00210F32">
      <w:pPr>
        <w:jc w:val="both"/>
      </w:pP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По вопросам доступа пользователей к сведениям Реестра необходимо обращаться по телефону:</w:t>
      </w:r>
    </w:p>
    <w:p w:rsidR="00210F32" w:rsidRDefault="00210F32" w:rsidP="00210F32">
      <w:pPr>
        <w:jc w:val="both"/>
      </w:pPr>
      <w:r>
        <w:rPr>
          <w:rFonts w:ascii="Times New Roman" w:hAnsi="Times New Roman"/>
          <w:color w:val="333333"/>
          <w:sz w:val="28"/>
        </w:rPr>
        <w:t>8 (47-242) 29-4-22.</w:t>
      </w:r>
    </w:p>
    <w:p w:rsidR="00210F32" w:rsidRDefault="00210F32" w:rsidP="00210F32">
      <w:pPr>
        <w:ind w:firstLine="709"/>
        <w:jc w:val="both"/>
      </w:pPr>
    </w:p>
    <w:p w:rsidR="00EF0023" w:rsidRDefault="00EF0023"/>
    <w:sectPr w:rsidR="00EF0023" w:rsidSect="00210F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32"/>
    <w:rsid w:val="00210F32"/>
    <w:rsid w:val="00E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1818-21D4-47BF-BF52-1B76FCAD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3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2022-11-01T12:19:00Z</dcterms:created>
  <dcterms:modified xsi:type="dcterms:W3CDTF">2022-11-01T12:19:00Z</dcterms:modified>
</cp:coreProperties>
</file>