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A1D" w:rsidRPr="00125CFB" w:rsidRDefault="00CB54AB" w:rsidP="00CB54A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125CFB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РАСПОРЯЖЕНИЕ</w:t>
      </w:r>
    </w:p>
    <w:p w:rsidR="00CB54AB" w:rsidRPr="00125CFB" w:rsidRDefault="00CB54AB" w:rsidP="00CB54A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25CF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ГЛАВЫ </w:t>
      </w:r>
      <w:r w:rsidR="00E12032" w:rsidRPr="00125CF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ВЯЗОВСКОГО</w:t>
      </w:r>
      <w:r w:rsidRPr="00125CF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СЕЛЬСКОГО ПОСЕЛЕНИЯ</w:t>
      </w:r>
    </w:p>
    <w:p w:rsidR="00CB54AB" w:rsidRPr="00125CFB" w:rsidRDefault="00CB54AB" w:rsidP="00CB54A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25CF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муниципального района «Прохоровский район»</w:t>
      </w:r>
    </w:p>
    <w:p w:rsidR="00CB54AB" w:rsidRPr="00125CFB" w:rsidRDefault="00CB54AB" w:rsidP="00CB54A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25CF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Белгородской области</w:t>
      </w:r>
    </w:p>
    <w:p w:rsidR="00CB54AB" w:rsidRPr="00125CFB" w:rsidRDefault="00CB54AB" w:rsidP="00CB54A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B54AB" w:rsidRPr="00125CFB" w:rsidRDefault="00CB54AB" w:rsidP="00CB54A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B54AB" w:rsidRPr="00125CFB" w:rsidRDefault="00176C21" w:rsidP="00CB54A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«2</w:t>
      </w:r>
      <w:r w:rsidR="00644E52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B54AB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44E52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="00CB54AB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5B260F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E2F9C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4AB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года                                                                 №</w:t>
      </w:r>
      <w:r w:rsidR="00E12032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4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CB54AB" w:rsidRPr="00125CFB" w:rsidRDefault="00CB54AB" w:rsidP="00CB54A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4AB" w:rsidRPr="00125CFB" w:rsidRDefault="00CB54AB" w:rsidP="00CB54A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</w:p>
    <w:p w:rsidR="00CB54AB" w:rsidRPr="00125CFB" w:rsidRDefault="00CB54AB" w:rsidP="004C669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5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 назначении публичных слушаний</w:t>
      </w:r>
    </w:p>
    <w:p w:rsidR="00CB54AB" w:rsidRPr="00125CFB" w:rsidRDefault="00CB54AB" w:rsidP="004C669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5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проекту решения земского собрания</w:t>
      </w:r>
    </w:p>
    <w:p w:rsidR="00CB54AB" w:rsidRPr="00125CFB" w:rsidRDefault="00CB54AB" w:rsidP="004C669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5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</w:t>
      </w:r>
      <w:r w:rsidR="00A938BB" w:rsidRPr="00125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r w:rsidRPr="00125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утверждении отчета об исполнении</w:t>
      </w:r>
    </w:p>
    <w:p w:rsidR="00056FF1" w:rsidRPr="00125CFB" w:rsidRDefault="00CB54AB" w:rsidP="00056FF1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125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бюджета </w:t>
      </w:r>
      <w:bookmarkStart w:id="1" w:name="_Hlk66945616"/>
      <w:r w:rsidR="00056FF1" w:rsidRPr="00125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12032" w:rsidRPr="00125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Вязовского</w:t>
      </w:r>
      <w:proofErr w:type="spellEnd"/>
      <w:proofErr w:type="gramEnd"/>
      <w:r w:rsidR="00056FF1" w:rsidRPr="00125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</w:t>
      </w:r>
    </w:p>
    <w:p w:rsidR="00056FF1" w:rsidRPr="00125CFB" w:rsidRDefault="00056FF1" w:rsidP="00056FF1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5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поселения муниципального района </w:t>
      </w:r>
    </w:p>
    <w:p w:rsidR="004C6692" w:rsidRPr="00125CFB" w:rsidRDefault="00056FF1" w:rsidP="00056FF1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5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125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Прохоровский</w:t>
      </w:r>
      <w:proofErr w:type="spellEnd"/>
      <w:r w:rsidRPr="00125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125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район»  </w:t>
      </w:r>
      <w:r w:rsidR="00CB54AB" w:rsidRPr="00125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proofErr w:type="gramEnd"/>
      <w:r w:rsidR="00CB54AB" w:rsidRPr="00125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5B260F" w:rsidRPr="00125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3906F3" w:rsidRPr="00125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54AB" w:rsidRPr="00125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год»</w:t>
      </w:r>
    </w:p>
    <w:bookmarkEnd w:id="1"/>
    <w:bookmarkEnd w:id="0"/>
    <w:p w:rsidR="004C6692" w:rsidRPr="00125CFB" w:rsidRDefault="004C6692" w:rsidP="00CB54A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6692" w:rsidRPr="00125CFB" w:rsidRDefault="004C6692" w:rsidP="004C669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соответствии ст. 28 Федерального закона от 06.10.2003 N 131-ФЗ</w:t>
      </w:r>
    </w:p>
    <w:p w:rsidR="004C6692" w:rsidRPr="00125CFB" w:rsidRDefault="004C6692" w:rsidP="004C669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(ред. от 29.12.2020) "Об общих принципах организации местного самоуправления в Российской Федерации", Бюджетным кодексом Российской Федерации, статьей 45 Устава </w:t>
      </w:r>
      <w:proofErr w:type="spellStart"/>
      <w:r w:rsidR="00E12032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Вязовского</w:t>
      </w:r>
      <w:proofErr w:type="spellEnd"/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«Прохоровский район» Белгородской области:</w:t>
      </w:r>
    </w:p>
    <w:p w:rsidR="004C6692" w:rsidRPr="00125CFB" w:rsidRDefault="004C6692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публичные слушания по проекту решения «Об утверждении отчета об исполнении </w:t>
      </w:r>
      <w:proofErr w:type="gramStart"/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="00056FF1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2032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Вязовского</w:t>
      </w:r>
      <w:proofErr w:type="spellEnd"/>
      <w:proofErr w:type="gramEnd"/>
      <w:r w:rsidR="00056FF1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 поселения муниципального района «</w:t>
      </w:r>
      <w:proofErr w:type="spellStart"/>
      <w:r w:rsidR="00056FF1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Прохоровский</w:t>
      </w:r>
      <w:proofErr w:type="spellEnd"/>
      <w:r w:rsidR="00056FF1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</w:t>
      </w: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 w:rsidR="005B260F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06F3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год»</w:t>
      </w:r>
      <w:r w:rsidR="000B63F7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5B260F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4E52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5B260F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906F3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года в 10-00 часов в административном здании</w:t>
      </w:r>
      <w:r w:rsidR="003906F3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bookmarkStart w:id="2" w:name="_Hlk66946588"/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Белгородская область, Прохоровский район, с. </w:t>
      </w:r>
      <w:r w:rsidR="00E12032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Вязовое</w:t>
      </w: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E12032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им. Губина Н. Г.</w:t>
      </w: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2032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д.1</w:t>
      </w: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2"/>
    <w:p w:rsidR="004C6692" w:rsidRPr="00125CFB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председательствующим на публичных слушаниях </w:t>
      </w:r>
      <w:proofErr w:type="spellStart"/>
      <w:r w:rsidR="00E12032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Субочева</w:t>
      </w:r>
      <w:proofErr w:type="spellEnd"/>
      <w:r w:rsidR="00E12032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Алексея Ивановича</w:t>
      </w: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главу </w:t>
      </w:r>
      <w:proofErr w:type="spellStart"/>
      <w:r w:rsidR="00E12032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Вязовского</w:t>
      </w:r>
      <w:proofErr w:type="spellEnd"/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40724" w:rsidRPr="00125CFB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A40724" w:rsidRPr="00125CFB" w:rsidRDefault="00A40724" w:rsidP="00836523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12032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Гришина Татьяна Анатольевна </w:t>
      </w: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заместитель главы администрации </w:t>
      </w:r>
      <w:r w:rsidR="003906F3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E12032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Вязовского</w:t>
      </w:r>
      <w:proofErr w:type="spellEnd"/>
      <w:r w:rsidR="00E12032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поселения;</w:t>
      </w:r>
    </w:p>
    <w:p w:rsidR="00A40724" w:rsidRPr="00125CFB" w:rsidRDefault="00A40724" w:rsidP="00836523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25CFB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Гришина Оксана Николаевна</w:t>
      </w: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25CFB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заведующая </w:t>
      </w:r>
      <w:proofErr w:type="spellStart"/>
      <w:r w:rsidR="00125CFB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Вязовской</w:t>
      </w:r>
      <w:proofErr w:type="spellEnd"/>
      <w:r w:rsidR="00125CFB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модельной библиотекой- филиалом</w:t>
      </w:r>
    </w:p>
    <w:p w:rsidR="00A40724" w:rsidRPr="00125CFB" w:rsidRDefault="00A40724" w:rsidP="00836523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125CFB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Аноприева</w:t>
      </w:r>
      <w:proofErr w:type="spellEnd"/>
      <w:r w:rsidR="00125CFB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Анатольевна</w:t>
      </w: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- директор МБОУ «</w:t>
      </w:r>
      <w:proofErr w:type="spellStart"/>
      <w:r w:rsidR="00125CFB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Вязовская</w:t>
      </w:r>
      <w:proofErr w:type="spellEnd"/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</w:t>
      </w:r>
    </w:p>
    <w:p w:rsidR="00A40724" w:rsidRPr="00125CFB" w:rsidRDefault="00125CFB" w:rsidP="00836523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proofErr w:type="gramStart"/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Зенина</w:t>
      </w:r>
      <w:proofErr w:type="spellEnd"/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Екатерина</w:t>
      </w:r>
      <w:proofErr w:type="gramEnd"/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Анатольевна</w:t>
      </w:r>
      <w:r w:rsidR="00A40724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заведующая</w:t>
      </w:r>
      <w:r w:rsidR="00A40724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МКУК «</w:t>
      </w:r>
      <w:proofErr w:type="spellStart"/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Вязовския</w:t>
      </w:r>
      <w:proofErr w:type="spellEnd"/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СДК»</w:t>
      </w:r>
    </w:p>
    <w:p w:rsidR="00836523" w:rsidRPr="00125CFB" w:rsidRDefault="00A40724" w:rsidP="008365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906F3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836523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Поручить рабочей группе создать необходимые условия для        </w:t>
      </w:r>
      <w:r w:rsidR="00836523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A40724" w:rsidRPr="00125CFB" w:rsidRDefault="00836523" w:rsidP="008365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40724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публичных слушаний по проекту решения «Об утверждении </w:t>
      </w: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40724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отчета об исполнении </w:t>
      </w:r>
      <w:proofErr w:type="gramStart"/>
      <w:r w:rsidR="00A40724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="00056FF1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5CFB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Вязовского</w:t>
      </w:r>
      <w:proofErr w:type="spellEnd"/>
      <w:proofErr w:type="gramEnd"/>
      <w:r w:rsidR="00056FF1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 поселения муниципального района «</w:t>
      </w:r>
      <w:proofErr w:type="spellStart"/>
      <w:r w:rsidR="00056FF1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Прохоровский</w:t>
      </w:r>
      <w:proofErr w:type="spellEnd"/>
      <w:r w:rsidR="00056FF1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</w:t>
      </w:r>
      <w:r w:rsidR="00A40724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 w:rsidR="005B260F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06F3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724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год»</w:t>
      </w:r>
    </w:p>
    <w:p w:rsidR="00836523" w:rsidRPr="00125CFB" w:rsidRDefault="003906F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836523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по проекту решения «Об утверждении отчета об исполнении </w:t>
      </w:r>
      <w:proofErr w:type="gramStart"/>
      <w:r w:rsidR="00836523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="00056FF1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5CFB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Вязовского</w:t>
      </w:r>
      <w:proofErr w:type="spellEnd"/>
      <w:proofErr w:type="gramEnd"/>
      <w:r w:rsidR="00056FF1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 поселения муниципального района «</w:t>
      </w:r>
      <w:proofErr w:type="spellStart"/>
      <w:r w:rsidR="00056FF1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Прохоровский</w:t>
      </w:r>
      <w:proofErr w:type="spellEnd"/>
      <w:r w:rsidR="00056FF1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</w:t>
      </w:r>
      <w:r w:rsidR="00836523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</w:t>
      </w:r>
      <w:r w:rsidR="005B260F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523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год» предоставлять по адресу: Белгородская область, Прохоровский район, с. </w:t>
      </w:r>
      <w:r w:rsidR="00125CFB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Вязовое</w:t>
      </w:r>
      <w:r w:rsidR="00836523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125CFB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им. Губина Н. Г.</w:t>
      </w:r>
      <w:r w:rsidR="00836523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25CFB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д.1</w:t>
      </w:r>
      <w:r w:rsidR="00836523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рабочие дни с 8-00 до 12-00</w:t>
      </w: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523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часо</w:t>
      </w: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36523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13-00 до 17-00 часов не позднее 3 дней до даты проведения публичных слушаний.</w:t>
      </w:r>
    </w:p>
    <w:p w:rsidR="00836523" w:rsidRPr="00125CFB" w:rsidRDefault="0083652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настоящее распоряжение и проект решения «Об утверждении отчета об исполнении </w:t>
      </w:r>
      <w:proofErr w:type="gramStart"/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="00056FF1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5CFB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Вязовского</w:t>
      </w:r>
      <w:proofErr w:type="spellEnd"/>
      <w:proofErr w:type="gramEnd"/>
      <w:r w:rsidR="00056FF1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 поселения муниципального района «</w:t>
      </w:r>
      <w:proofErr w:type="spellStart"/>
      <w:r w:rsidR="00056FF1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Прохоровский</w:t>
      </w:r>
      <w:proofErr w:type="spellEnd"/>
      <w:r w:rsidR="00056FF1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</w:t>
      </w: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5B260F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5B260F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 на официальном сайте органов местного самоуправления </w:t>
      </w:r>
      <w:proofErr w:type="spellStart"/>
      <w:r w:rsidR="00125CFB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Вязовского</w:t>
      </w:r>
      <w:proofErr w:type="spellEnd"/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E456F4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E456F4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Прохоровский</w:t>
      </w:r>
      <w:proofErr w:type="spellEnd"/>
      <w:r w:rsidR="00E456F4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области.</w:t>
      </w:r>
    </w:p>
    <w:p w:rsidR="00E456F4" w:rsidRPr="00125CFB" w:rsidRDefault="00E456F4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66949621"/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исполнения настоящего распоряжения возложить на главу администрации </w:t>
      </w:r>
      <w:proofErr w:type="spellStart"/>
      <w:r w:rsidR="00125CFB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>Вязовского</w:t>
      </w:r>
      <w:proofErr w:type="spellEnd"/>
      <w:r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поселения-</w:t>
      </w:r>
      <w:r w:rsidR="00125CFB" w:rsidRPr="00125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Чуеву Ольгу Ивановну.</w:t>
      </w:r>
    </w:p>
    <w:bookmarkEnd w:id="3"/>
    <w:p w:rsidR="00E456F4" w:rsidRPr="00125CFB" w:rsidRDefault="00293042" w:rsidP="00E456F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E67F36E" wp14:editId="54F2AB7C">
            <wp:simplePos x="0" y="0"/>
            <wp:positionH relativeFrom="column">
              <wp:posOffset>-906145</wp:posOffset>
            </wp:positionH>
            <wp:positionV relativeFrom="paragraph">
              <wp:posOffset>390525</wp:posOffset>
            </wp:positionV>
            <wp:extent cx="7214870" cy="19145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87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56F4" w:rsidRPr="00125CFB" w:rsidRDefault="00E456F4" w:rsidP="00E456F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724" w:rsidRPr="00125CFB" w:rsidRDefault="00A40724" w:rsidP="00A40724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6692" w:rsidRPr="00125CFB" w:rsidRDefault="004C6692" w:rsidP="004C669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2CD1" w:rsidRDefault="00512CD1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2CD1" w:rsidRDefault="00512CD1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2CD1" w:rsidRDefault="00512CD1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2CD1" w:rsidRDefault="00512CD1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2CD1" w:rsidRDefault="00512CD1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2CD1" w:rsidRDefault="00512CD1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20" w:type="dxa"/>
        <w:tblInd w:w="108" w:type="dxa"/>
        <w:tblLook w:val="04A0" w:firstRow="1" w:lastRow="0" w:firstColumn="1" w:lastColumn="0" w:noHBand="0" w:noVBand="1"/>
      </w:tblPr>
      <w:tblGrid>
        <w:gridCol w:w="2920"/>
        <w:gridCol w:w="3860"/>
        <w:gridCol w:w="1940"/>
      </w:tblGrid>
      <w:tr w:rsidR="00512CD1" w:rsidRPr="00512CD1" w:rsidTr="00512CD1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  <w:tr w:rsidR="00512CD1" w:rsidRPr="00512CD1" w:rsidTr="00512CD1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CD1" w:rsidRPr="00512CD1" w:rsidTr="00512CD1">
        <w:trPr>
          <w:trHeight w:val="322"/>
        </w:trPr>
        <w:tc>
          <w:tcPr>
            <w:tcW w:w="8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Источники внутреннего финансирования дефицита бюджета </w:t>
            </w:r>
            <w:proofErr w:type="spellStart"/>
            <w:r w:rsidRPr="0051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Вязовского</w:t>
            </w:r>
            <w:proofErr w:type="spellEnd"/>
            <w:r w:rsidRPr="0051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за 2024 год</w:t>
            </w:r>
          </w:p>
        </w:tc>
      </w:tr>
      <w:tr w:rsidR="00512CD1" w:rsidRPr="00512CD1" w:rsidTr="00512CD1">
        <w:trPr>
          <w:trHeight w:val="390"/>
        </w:trPr>
        <w:tc>
          <w:tcPr>
            <w:tcW w:w="8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12CD1" w:rsidRPr="00512CD1" w:rsidTr="00512CD1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CD1" w:rsidRPr="00512CD1" w:rsidTr="00512CD1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512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512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12CD1" w:rsidRPr="00512CD1" w:rsidTr="00512CD1">
        <w:trPr>
          <w:trHeight w:val="12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</w:t>
            </w:r>
            <w:proofErr w:type="spellStart"/>
            <w:proofErr w:type="gramStart"/>
            <w:r w:rsidRPr="00512C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группы,подгруппы</w:t>
            </w:r>
            <w:proofErr w:type="gramEnd"/>
            <w:r w:rsidRPr="00512C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,статья,вида</w:t>
            </w:r>
            <w:proofErr w:type="spellEnd"/>
            <w:r w:rsidRPr="00512C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2024 год</w:t>
            </w:r>
          </w:p>
        </w:tc>
      </w:tr>
      <w:tr w:rsidR="00512CD1" w:rsidRPr="00512CD1" w:rsidTr="00512CD1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010500 00 00 0000 000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-580,8</w:t>
            </w:r>
          </w:p>
        </w:tc>
      </w:tr>
      <w:tr w:rsidR="00512CD1" w:rsidRPr="00512CD1" w:rsidTr="00512CD1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010500 00 00 0000 500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5305,7</w:t>
            </w:r>
          </w:p>
        </w:tc>
      </w:tr>
      <w:tr w:rsidR="00512CD1" w:rsidRPr="00512CD1" w:rsidTr="00512CD1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010502 00 00 0000 500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5305,7</w:t>
            </w:r>
          </w:p>
        </w:tc>
      </w:tr>
      <w:tr w:rsidR="00512CD1" w:rsidRPr="00512CD1" w:rsidTr="00512CD1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5305,7</w:t>
            </w:r>
          </w:p>
        </w:tc>
      </w:tr>
      <w:tr w:rsidR="00512CD1" w:rsidRPr="00512CD1" w:rsidTr="00512CD1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5305,7</w:t>
            </w:r>
          </w:p>
        </w:tc>
      </w:tr>
      <w:tr w:rsidR="00512CD1" w:rsidRPr="00512CD1" w:rsidTr="00512CD1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010500 00 00 0000 600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5886,5</w:t>
            </w:r>
          </w:p>
        </w:tc>
      </w:tr>
      <w:tr w:rsidR="00512CD1" w:rsidRPr="00512CD1" w:rsidTr="00512CD1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010502 00 00 0000 600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5886,5</w:t>
            </w:r>
          </w:p>
        </w:tc>
      </w:tr>
      <w:tr w:rsidR="00512CD1" w:rsidRPr="00512CD1" w:rsidTr="00512CD1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5886,5</w:t>
            </w:r>
          </w:p>
        </w:tc>
      </w:tr>
      <w:tr w:rsidR="00512CD1" w:rsidRPr="00512CD1" w:rsidTr="00512CD1">
        <w:trPr>
          <w:trHeight w:val="9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5886,5</w:t>
            </w:r>
          </w:p>
        </w:tc>
      </w:tr>
      <w:tr w:rsidR="00512CD1" w:rsidRPr="00512CD1" w:rsidTr="00512CD1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CD1" w:rsidRPr="00512CD1" w:rsidTr="00512CD1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CD1" w:rsidRPr="00512CD1" w:rsidTr="00512CD1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CD1" w:rsidRPr="00512CD1" w:rsidTr="00512CD1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D1" w:rsidRPr="00512CD1" w:rsidRDefault="00512CD1" w:rsidP="0051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2CD1" w:rsidRDefault="00512CD1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909"/>
        <w:gridCol w:w="1448"/>
        <w:gridCol w:w="1373"/>
        <w:gridCol w:w="1998"/>
      </w:tblGrid>
      <w:tr w:rsidR="00512CD1" w:rsidTr="00512CD1">
        <w:trPr>
          <w:trHeight w:val="367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 w:rsidP="0051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ИНФОРМАЦИЯ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 w:rsidP="0051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 w:rsidP="0051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 w:rsidP="0051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 w:rsidP="0051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 w:rsidP="0051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 w:rsidP="0051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 w:rsidP="0051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2CD1" w:rsidTr="00512CD1">
        <w:trPr>
          <w:trHeight w:val="1219"/>
        </w:trPr>
        <w:tc>
          <w:tcPr>
            <w:tcW w:w="9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 w:rsidP="0051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Вязовского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муниципального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райна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Прохоровский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район" Белгородской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области 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2024 год</w:t>
            </w: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2CD1" w:rsidTr="00512CD1">
        <w:trPr>
          <w:trHeight w:val="294"/>
        </w:trPr>
        <w:tc>
          <w:tcPr>
            <w:tcW w:w="6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Представленные материалы отчёта об исполнении бюджета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Вязовского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2CD1" w:rsidTr="00512CD1">
        <w:trPr>
          <w:trHeight w:val="294"/>
        </w:trPr>
        <w:tc>
          <w:tcPr>
            <w:tcW w:w="9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сельского поселения муниципального района"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Прохоровский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район" Белгородской области за</w:t>
            </w:r>
          </w:p>
        </w:tc>
      </w:tr>
      <w:tr w:rsidR="00512CD1" w:rsidTr="00512CD1">
        <w:trPr>
          <w:trHeight w:val="294"/>
        </w:trPr>
        <w:tc>
          <w:tcPr>
            <w:tcW w:w="9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2024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год  соответствует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данным бухгалтерской отчётности, составленной в соответствии с приказом</w:t>
            </w:r>
          </w:p>
        </w:tc>
      </w:tr>
      <w:tr w:rsidR="00512CD1" w:rsidTr="00512CD1">
        <w:trPr>
          <w:trHeight w:val="294"/>
        </w:trPr>
        <w:tc>
          <w:tcPr>
            <w:tcW w:w="9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Минфина РФ от 28 декабря 2010 года № 191н " Об утверждении инструкции о порядке составления</w:t>
            </w:r>
          </w:p>
        </w:tc>
      </w:tr>
      <w:tr w:rsidR="00512CD1" w:rsidTr="00512CD1">
        <w:trPr>
          <w:trHeight w:val="294"/>
        </w:trPr>
        <w:tc>
          <w:tcPr>
            <w:tcW w:w="9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представления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годовой,квартальной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месячной отчётности об исполнении бюджетов бюджет-</w:t>
            </w:r>
          </w:p>
        </w:tc>
      </w:tr>
      <w:tr w:rsidR="00512CD1" w:rsidTr="00512CD1">
        <w:trPr>
          <w:trHeight w:val="294"/>
        </w:trPr>
        <w:tc>
          <w:tcPr>
            <w:tcW w:w="9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ной системы Российской Федерации" и данным сводной бюджетной росписи районного бюджета</w:t>
            </w: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2024 год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512CD1" w:rsidTr="00512CD1">
        <w:trPr>
          <w:trHeight w:val="867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фактически поступило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 исполнения</w:t>
            </w: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бюджета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5355,2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5305,7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99,1</w:t>
            </w: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налоговые и неналоговые платежи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2034,4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Дефицит(-). Профицит (+)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-580,8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2CD1" w:rsidTr="00512CD1">
        <w:trPr>
          <w:trHeight w:val="294"/>
        </w:trPr>
        <w:tc>
          <w:tcPr>
            <w:tcW w:w="7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Доходы местного бюджета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налоги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,сборы,прочие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поступления в бюджет)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283,2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110,2</w:t>
            </w: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181,5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104,3</w:t>
            </w: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1512,7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103,8</w:t>
            </w: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20,6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89,6</w:t>
            </w: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оказания платных услуг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2222,8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2222,8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143,6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142,6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99,3</w:t>
            </w: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1066,8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937,6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87,9</w:t>
            </w: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бюджета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2CD1" w:rsidTr="00512CD1">
        <w:trPr>
          <w:trHeight w:val="589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асигнования</w:t>
            </w:r>
            <w:proofErr w:type="spellEnd"/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фактический расход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 исполнения</w:t>
            </w: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6108,2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5886,5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96,4</w:t>
            </w: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2CD1" w:rsidTr="00512CD1">
        <w:trPr>
          <w:trHeight w:val="351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Раздел 0100 Общегосударственные вопросы 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2196,8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2176,3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99,1</w:t>
            </w:r>
          </w:p>
        </w:tc>
      </w:tr>
      <w:tr w:rsidR="00512CD1" w:rsidTr="00512CD1">
        <w:trPr>
          <w:trHeight w:val="589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Раздел 0200 Национальная оборона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перв.воинский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учёт)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136,5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135,5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99,3</w:t>
            </w: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Раздел 0300 Национальная безопасность                  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620,2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621,9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100,3</w:t>
            </w:r>
          </w:p>
        </w:tc>
      </w:tr>
      <w:tr w:rsidR="00512CD1" w:rsidTr="00512CD1">
        <w:trPr>
          <w:trHeight w:val="884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подраздел 0310 Защита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населенияи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420,7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419,7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99,8</w:t>
            </w:r>
          </w:p>
        </w:tc>
      </w:tr>
      <w:tr w:rsidR="00512CD1" w:rsidTr="00512CD1">
        <w:trPr>
          <w:trHeight w:val="589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подраздел 0314 Другие вопросы национальной безопасности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правохранительной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деятельности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199,5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202,2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101,4</w:t>
            </w:r>
          </w:p>
        </w:tc>
      </w:tr>
      <w:tr w:rsidR="00512CD1" w:rsidTr="00512CD1">
        <w:trPr>
          <w:trHeight w:val="629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 0400 Национальная экономика, в том числе: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1158,7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1021,8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88,2</w:t>
            </w:r>
          </w:p>
        </w:tc>
      </w:tr>
      <w:tr w:rsidR="00512CD1" w:rsidTr="00512CD1">
        <w:trPr>
          <w:trHeight w:val="351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подраздел 0405 Сельское хоз-во и рыболовство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512CD1" w:rsidTr="00512CD1">
        <w:trPr>
          <w:trHeight w:val="367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подраздел 0409 Дорожное хозяйство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874,8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745,6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85,2</w:t>
            </w:r>
          </w:p>
        </w:tc>
      </w:tr>
      <w:tr w:rsidR="00512CD1" w:rsidTr="00512CD1">
        <w:trPr>
          <w:trHeight w:val="334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подраздел 0410 Связь и информатика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121,3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113,5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93,6</w:t>
            </w:r>
          </w:p>
        </w:tc>
      </w:tr>
      <w:tr w:rsidR="00512CD1" w:rsidTr="00512CD1">
        <w:trPr>
          <w:trHeight w:val="589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подраздел 0412 Другие вопросы в области национальной экономики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155,5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155,5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 0500 Жилищно-коммунальное хозяйство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1511,9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1447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 0700 Молодежная политика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 0800 Культура и кинематография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477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477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 1100 Физическая культура и спорт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2CD1" w:rsidTr="00512CD1">
        <w:trPr>
          <w:trHeight w:val="294"/>
        </w:trPr>
        <w:tc>
          <w:tcPr>
            <w:tcW w:w="6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связи с вышеизложенной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информацией  предлагается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2CD1" w:rsidTr="00512CD1">
        <w:trPr>
          <w:trHeight w:val="1265"/>
        </w:trPr>
        <w:tc>
          <w:tcPr>
            <w:tcW w:w="9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Утвердить отчёт об исполнении бюджета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Вязовского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сельского поселения муниципального района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Прохоровский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район" за 2024 год по доходам в сумме 5305,7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., расходам в сумме 5886,5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с превышением расходов над доходами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( профицит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бюджета) в сумме 580,8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12CD1" w:rsidTr="00512CD1">
        <w:trPr>
          <w:trHeight w:val="322"/>
        </w:trPr>
        <w:tc>
          <w:tcPr>
            <w:tcW w:w="9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Утвердить отчёт по источникам внутреннего финансирования дефицита бюджета поселения  </w:t>
            </w: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за  2024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год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(Приложение № 1)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2CD1" w:rsidTr="00512CD1">
        <w:trPr>
          <w:trHeight w:val="703"/>
        </w:trPr>
        <w:tc>
          <w:tcPr>
            <w:tcW w:w="9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Утвердить отчёт по поступлению доходов в бюджет поселения за 2024 год        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Приложение  № 2).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12CD1" w:rsidTr="00512CD1">
        <w:trPr>
          <w:trHeight w:val="662"/>
        </w:trPr>
        <w:tc>
          <w:tcPr>
            <w:tcW w:w="9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Утвердить отчёт по ведомственной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структуре  расходов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бюджета поселения за 2024 год.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Приложение  №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3).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12CD1" w:rsidTr="00512CD1">
        <w:trPr>
          <w:trHeight w:val="1236"/>
        </w:trPr>
        <w:tc>
          <w:tcPr>
            <w:tcW w:w="9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Утвердить отчёт по распределению бюджетных ассигнований по разделам, подразделам целевым статьям (муниципальным программам бюджета   поселения и непрограммным направлениям деятельности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),группам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видов расходов ,классификации расходов бюджета поселения за 2024 год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( Приложение № 4)</w:t>
            </w:r>
          </w:p>
        </w:tc>
      </w:tr>
      <w:tr w:rsidR="00512CD1" w:rsidTr="00512CD1">
        <w:trPr>
          <w:trHeight w:val="1236"/>
        </w:trPr>
        <w:tc>
          <w:tcPr>
            <w:tcW w:w="9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Утвердить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отчёт  по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 распределению бюджетных ассигнований по целевым статьям (муниципальным программам бюджета   поселения и непрограммным направлениям деятельности),группам видов расходов , разделам, подразделам, классификации расходов бюджета поселения за 2024 год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(Приложение № 5).</w:t>
            </w:r>
          </w:p>
        </w:tc>
      </w:tr>
      <w:tr w:rsidR="00512CD1" w:rsidTr="00512CD1">
        <w:trPr>
          <w:trHeight w:val="294"/>
        </w:trPr>
        <w:tc>
          <w:tcPr>
            <w:tcW w:w="9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Утвердить отчёт об исполнении бюджета дорожного фонда поселения за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2024  год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(Приложение № 6)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2CD1" w:rsidTr="00512CD1">
        <w:trPr>
          <w:trHeight w:val="294"/>
        </w:trPr>
        <w:tc>
          <w:tcPr>
            <w:tcW w:w="9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Утвердить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отчёт  об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исполнении бюджета  резервного фонда администрации поселения за</w:t>
            </w:r>
          </w:p>
        </w:tc>
      </w:tr>
      <w:tr w:rsidR="00512CD1" w:rsidTr="00512CD1">
        <w:trPr>
          <w:trHeight w:val="294"/>
        </w:trPr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2024 год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(Приложение № 7)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512CD1" w:rsidRDefault="005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456F4" w:rsidSect="0009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D73"/>
    <w:multiLevelType w:val="hybridMultilevel"/>
    <w:tmpl w:val="B6509A78"/>
    <w:lvl w:ilvl="0" w:tplc="85B4C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97FAE"/>
    <w:multiLevelType w:val="hybridMultilevel"/>
    <w:tmpl w:val="D6E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45DF9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B2D0F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45B9"/>
    <w:multiLevelType w:val="hybridMultilevel"/>
    <w:tmpl w:val="B6EE3E9C"/>
    <w:lvl w:ilvl="0" w:tplc="4AC85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A2574"/>
    <w:multiLevelType w:val="hybridMultilevel"/>
    <w:tmpl w:val="C5A039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93026"/>
    <w:multiLevelType w:val="hybridMultilevel"/>
    <w:tmpl w:val="3C90E246"/>
    <w:lvl w:ilvl="0" w:tplc="118224D6">
      <w:start w:val="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886"/>
    <w:rsid w:val="00056FF1"/>
    <w:rsid w:val="00093C35"/>
    <w:rsid w:val="000B1A13"/>
    <w:rsid w:val="000B63F7"/>
    <w:rsid w:val="000E2F9C"/>
    <w:rsid w:val="000E39D7"/>
    <w:rsid w:val="0010781F"/>
    <w:rsid w:val="00125CFB"/>
    <w:rsid w:val="00176C21"/>
    <w:rsid w:val="00293042"/>
    <w:rsid w:val="003906F3"/>
    <w:rsid w:val="004A1E2F"/>
    <w:rsid w:val="004C6692"/>
    <w:rsid w:val="00512CD1"/>
    <w:rsid w:val="005B260F"/>
    <w:rsid w:val="00644E52"/>
    <w:rsid w:val="00661CFC"/>
    <w:rsid w:val="00665BB0"/>
    <w:rsid w:val="006664F9"/>
    <w:rsid w:val="006A074E"/>
    <w:rsid w:val="00781A65"/>
    <w:rsid w:val="007A0B66"/>
    <w:rsid w:val="007B7529"/>
    <w:rsid w:val="00831886"/>
    <w:rsid w:val="00836523"/>
    <w:rsid w:val="0086130D"/>
    <w:rsid w:val="00875DD9"/>
    <w:rsid w:val="008E3383"/>
    <w:rsid w:val="00910C14"/>
    <w:rsid w:val="00A40724"/>
    <w:rsid w:val="00A52E37"/>
    <w:rsid w:val="00A938BB"/>
    <w:rsid w:val="00B07458"/>
    <w:rsid w:val="00BC2F42"/>
    <w:rsid w:val="00C35560"/>
    <w:rsid w:val="00CB54AB"/>
    <w:rsid w:val="00D11A1D"/>
    <w:rsid w:val="00E12032"/>
    <w:rsid w:val="00E456F4"/>
    <w:rsid w:val="00EF0201"/>
    <w:rsid w:val="00F739C0"/>
    <w:rsid w:val="00F82E86"/>
    <w:rsid w:val="00FB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94AA3-454F-4180-8A4D-DB49E87C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4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2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2076A-39AD-497E-BE37-BAF78C34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Work</cp:lastModifiedBy>
  <cp:revision>17</cp:revision>
  <dcterms:created xsi:type="dcterms:W3CDTF">2021-03-19T05:15:00Z</dcterms:created>
  <dcterms:modified xsi:type="dcterms:W3CDTF">2025-02-21T08:48:00Z</dcterms:modified>
</cp:coreProperties>
</file>